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D4E" w:rsidRPr="00025D4E" w:rsidRDefault="00025D4E" w:rsidP="00025D4E">
      <w:pPr>
        <w:spacing w:after="0" w:line="240" w:lineRule="auto"/>
        <w:jc w:val="center"/>
        <w:rPr>
          <w:rFonts w:ascii="Verdana" w:eastAsia="Times New Roman" w:hAnsi="Verdana" w:cs="Times New Roman"/>
          <w:color w:val="000000"/>
          <w:sz w:val="23"/>
          <w:szCs w:val="23"/>
          <w:lang w:eastAsia="nl-NL"/>
        </w:rPr>
      </w:pPr>
      <w:r w:rsidRPr="00025D4E">
        <w:rPr>
          <w:rFonts w:ascii="Verdana" w:eastAsia="Times New Roman" w:hAnsi="Verdana" w:cs="Times New Roman"/>
          <w:b/>
          <w:bCs/>
          <w:color w:val="000000"/>
          <w:sz w:val="23"/>
          <w:szCs w:val="23"/>
          <w:lang w:eastAsia="nl-NL"/>
        </w:rPr>
        <w:t xml:space="preserve">Reglement Onderzoek Schepen op de Rijn (ROSR)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tbl>
      <w:tblPr>
        <w:tblW w:w="5000" w:type="pct"/>
        <w:jc w:val="center"/>
        <w:tblCellSpacing w:w="0" w:type="dxa"/>
        <w:tblCellMar>
          <w:left w:w="0" w:type="dxa"/>
          <w:right w:w="0" w:type="dxa"/>
        </w:tblCellMar>
        <w:tblLook w:val="04A0"/>
      </w:tblPr>
      <w:tblGrid>
        <w:gridCol w:w="301"/>
        <w:gridCol w:w="8759"/>
        <w:gridCol w:w="300"/>
      </w:tblGrid>
      <w:tr w:rsidR="00025D4E" w:rsidRPr="00025D4E">
        <w:trPr>
          <w:tblCellSpacing w:w="0" w:type="dxa"/>
          <w:jc w:val="center"/>
        </w:trPr>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55" name="Afbeelding 155" descr="http://www.scheepsinterieurbouw.nl/images/kdr_srch_upp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scheepsinterieurbouw.nl/images/kdr_srch_upper_left_corner.jpg"/>
                          <pic:cNvPicPr>
                            <a:picLocks noChangeAspect="1" noChangeArrowheads="1"/>
                          </pic:cNvPicPr>
                        </pic:nvPicPr>
                        <pic:blipFill>
                          <a:blip r:embed="rId4"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56" name="Afbeelding 156" descr="http://www.scheepsinterieurbouw.nl/images/kdr_srch_upp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scheepsinterieurbouw.nl/images/kdr_srch_upper_right_corner.jpg"/>
                          <pic:cNvPicPr>
                            <a:picLocks noChangeAspect="1" noChangeArrowheads="1"/>
                          </pic:cNvPicPr>
                        </pic:nvPicPr>
                        <pic:blipFill>
                          <a:blip r:embed="rId5"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r w:rsidR="00025D4E" w:rsidRPr="00025D4E">
        <w:trPr>
          <w:tblCellSpacing w:w="0" w:type="dxa"/>
          <w:jc w:val="center"/>
        </w:trPr>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57" name="Afbeelding 157" descr="http://www.scheepsinterieurbouw.nl/images/kdr_srch_lef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scheepsinterieurbouw.nl/images/kdr_srch_leftbar.jpg"/>
                          <pic:cNvPicPr>
                            <a:picLocks noChangeAspect="1" noChangeArrowheads="1"/>
                          </pic:cNvPicPr>
                        </pic:nvPicPr>
                        <pic:blipFill>
                          <a:blip r:embed="rId6"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tblPr>
            <w:tblGrid>
              <w:gridCol w:w="8759"/>
            </w:tblGrid>
            <w:tr w:rsidR="00025D4E" w:rsidRPr="00025D4E">
              <w:trPr>
                <w:tblCellSpacing w:w="0" w:type="dxa"/>
              </w:trPr>
              <w:tc>
                <w:tcPr>
                  <w:tcW w:w="5000" w:type="pct"/>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b/>
                      <w:bCs/>
                      <w:color w:val="000000"/>
                      <w:sz w:val="23"/>
                      <w:szCs w:val="23"/>
                      <w:lang w:eastAsia="nl-NL"/>
                    </w:rPr>
                    <w:t>Artikel 12.02 – Bijzondere bouwkundige eisen aan de verblijven</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5. Verblijven moeten zijn beschermd tegen ontoelaatbare geluidshinder en trillingen. De ten hoogste toegelaten niveaus van de geluidsdruk zijn:</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a. in woonruimten: 70 dB(A)</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b. in slaapruimten: 60 dB(A), dit geldt echter niet op schepen waarvoor uitsluitend </w:t>
                  </w:r>
                  <w:r w:rsidRPr="00025D4E">
                    <w:rPr>
                      <w:rFonts w:ascii="Verdana" w:eastAsia="Times New Roman" w:hAnsi="Verdana" w:cs="Times New Roman"/>
                      <w:color w:val="000000"/>
                      <w:sz w:val="21"/>
                      <w:lang w:eastAsia="nl-NL"/>
                    </w:rPr>
                    <w:t>exploitatiewijze </w:t>
                  </w:r>
                  <w:r w:rsidRPr="00025D4E">
                    <w:rPr>
                      <w:rFonts w:ascii="Verdana" w:eastAsia="Times New Roman" w:hAnsi="Verdana" w:cs="Times New Roman"/>
                      <w:color w:val="000000"/>
                      <w:sz w:val="23"/>
                      <w:szCs w:val="23"/>
                      <w:lang w:eastAsia="nl-NL"/>
                    </w:rPr>
                    <w:t>A1 geldt. De beperking wat betreft de exploitatiewijze dient in het certificaat van onderzoek te worden vermeld.</w:t>
                  </w:r>
                </w:p>
              </w:tc>
            </w:tr>
          </w:tbl>
          <w:p w:rsidR="00025D4E" w:rsidRPr="00025D4E" w:rsidRDefault="00025D4E" w:rsidP="00025D4E">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58" name="Afbeelding 158"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scheepsinterieurbouw.nl/images/kdr_srch_righ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025D4E" w:rsidRPr="00025D4E">
        <w:trPr>
          <w:tblCellSpacing w:w="0" w:type="dxa"/>
          <w:jc w:val="center"/>
        </w:trPr>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59" name="Afbeelding 159"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scheepsinterieurbouw.nl/images/kdr_srch_lower_left_corner.jpg"/>
                          <pic:cNvPicPr>
                            <a:picLocks noChangeAspect="1" noChangeArrowheads="1"/>
                          </pic:cNvPicPr>
                        </pic:nvPicPr>
                        <pic:blipFill>
                          <a:blip r:embed="rId8"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60" name="Afbeelding 160" descr="http://www.scheepsinterieurbouw.nl/images/kdr_srch_low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scheepsinterieurbouw.nl/images/kdr_srch_lower_right_corner.jpg"/>
                          <pic:cNvPicPr>
                            <a:picLocks noChangeAspect="1" noChangeArrowheads="1"/>
                          </pic:cNvPicPr>
                        </pic:nvPicPr>
                        <pic:blipFill>
                          <a:blip r:embed="rId9"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bl>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jc w:val="center"/>
        <w:rPr>
          <w:rFonts w:ascii="Verdana" w:eastAsia="Times New Roman" w:hAnsi="Verdana" w:cs="Times New Roman"/>
          <w:color w:val="000000"/>
          <w:sz w:val="23"/>
          <w:szCs w:val="23"/>
          <w:lang w:eastAsia="nl-NL"/>
        </w:rPr>
      </w:pPr>
      <w:r w:rsidRPr="00025D4E">
        <w:rPr>
          <w:rFonts w:ascii="Verdana" w:eastAsia="Times New Roman" w:hAnsi="Verdana" w:cs="Times New Roman"/>
          <w:b/>
          <w:bCs/>
          <w:color w:val="000000"/>
          <w:sz w:val="23"/>
          <w:szCs w:val="23"/>
          <w:lang w:eastAsia="nl-NL"/>
        </w:rPr>
        <w:t>Richtlijn 5</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b/>
          <w:bCs/>
          <w:color w:val="000000"/>
          <w:sz w:val="23"/>
          <w:szCs w:val="23"/>
          <w:lang w:eastAsia="nl-NL"/>
        </w:rPr>
        <w:t xml:space="preserve">GELUIDSMETINGEN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(artikelen 3.04, zevende lid, 7.01, tweede lid, 7.03, zesde lid, 7.09, derde lid, 8.08, 11.09, derde lid, 12.02, vijfde lid, 17.02, derde lid onder b, 17.03, eerste lid)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i/>
          <w:iCs/>
          <w:color w:val="000000"/>
          <w:sz w:val="23"/>
          <w:szCs w:val="23"/>
          <w:lang w:eastAsia="nl-NL"/>
        </w:rPr>
        <w:t xml:space="preserve">Richtlijn nr. 5 voor de Commissies van Deskundigen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i/>
          <w:iCs/>
          <w:color w:val="000000"/>
          <w:sz w:val="23"/>
          <w:szCs w:val="23"/>
          <w:lang w:eastAsia="nl-NL"/>
        </w:rPr>
        <w:t xml:space="preserve">ingevolge artikel 1.07 ROS1? 1995 (BAR </w:t>
      </w:r>
      <w:r w:rsidRPr="00025D4E">
        <w:rPr>
          <w:rFonts w:ascii="Verdana" w:eastAsia="Times New Roman" w:hAnsi="Verdana" w:cs="Times New Roman"/>
          <w:color w:val="000000"/>
          <w:sz w:val="23"/>
          <w:szCs w:val="23"/>
          <w:lang w:eastAsia="nl-NL"/>
        </w:rPr>
        <w:t xml:space="preserve">3/2003, </w:t>
      </w:r>
      <w:proofErr w:type="spellStart"/>
      <w:r w:rsidRPr="00025D4E">
        <w:rPr>
          <w:rFonts w:ascii="Verdana" w:eastAsia="Times New Roman" w:hAnsi="Verdana" w:cs="Times New Roman"/>
          <w:i/>
          <w:iCs/>
          <w:color w:val="000000"/>
          <w:sz w:val="23"/>
          <w:szCs w:val="23"/>
          <w:lang w:eastAsia="nl-NL"/>
        </w:rPr>
        <w:t>Stcrt</w:t>
      </w:r>
      <w:proofErr w:type="spellEnd"/>
      <w:r w:rsidRPr="00025D4E">
        <w:rPr>
          <w:rFonts w:ascii="Verdana" w:eastAsia="Times New Roman" w:hAnsi="Verdana" w:cs="Times New Roman"/>
          <w:i/>
          <w:iCs/>
          <w:color w:val="000000"/>
          <w:sz w:val="23"/>
          <w:szCs w:val="23"/>
          <w:lang w:eastAsia="nl-NL"/>
        </w:rPr>
        <w:t xml:space="preserve">. </w:t>
      </w:r>
      <w:r w:rsidRPr="00025D4E">
        <w:rPr>
          <w:rFonts w:ascii="Verdana" w:eastAsia="Times New Roman" w:hAnsi="Verdana" w:cs="Times New Roman"/>
          <w:color w:val="000000"/>
          <w:sz w:val="23"/>
          <w:szCs w:val="23"/>
          <w:lang w:eastAsia="nl-NL"/>
        </w:rPr>
        <w:t xml:space="preserve">2004, 34)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b/>
          <w:bCs/>
          <w:color w:val="000000"/>
          <w:sz w:val="23"/>
          <w:szCs w:val="23"/>
          <w:lang w:eastAsia="nl-NL"/>
        </w:rPr>
        <w:t xml:space="preserve">1. Algemeen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Voor de controle van het maximaal toegestane niveau van de geluidsdruk bedoeld in het ROSR 1995 moeten de uitvoering van proeven en de voorwaarden voor de kwantitatief reproduceerbare meting van de niveaus van de geluidsdruk overeenkomstig de punten 2 en 3 hierna worden vastgesteld.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2. </w:t>
      </w:r>
      <w:r w:rsidRPr="00025D4E">
        <w:rPr>
          <w:rFonts w:ascii="Verdana" w:eastAsia="Times New Roman" w:hAnsi="Verdana" w:cs="Times New Roman"/>
          <w:b/>
          <w:bCs/>
          <w:color w:val="000000"/>
          <w:sz w:val="23"/>
          <w:szCs w:val="23"/>
          <w:lang w:eastAsia="nl-NL"/>
        </w:rPr>
        <w:t xml:space="preserve">Meetapparaten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Het meetapparaat moet voldoen aan de eisen van een klasse 1 apparaat volgens de Europese norm EN 60651: 1994.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Voor en na iedere serie metingen moet een </w:t>
      </w:r>
      <w:proofErr w:type="spellStart"/>
      <w:r w:rsidRPr="00025D4E">
        <w:rPr>
          <w:rFonts w:ascii="Verdana" w:eastAsia="Times New Roman" w:hAnsi="Verdana" w:cs="Times New Roman"/>
          <w:color w:val="000000"/>
          <w:sz w:val="23"/>
          <w:szCs w:val="23"/>
          <w:lang w:eastAsia="nl-NL"/>
        </w:rPr>
        <w:t>kalibrator</w:t>
      </w:r>
      <w:proofErr w:type="spellEnd"/>
      <w:r w:rsidRPr="00025D4E">
        <w:rPr>
          <w:rFonts w:ascii="Verdana" w:eastAsia="Times New Roman" w:hAnsi="Verdana" w:cs="Times New Roman"/>
          <w:color w:val="000000"/>
          <w:sz w:val="23"/>
          <w:szCs w:val="23"/>
          <w:lang w:eastAsia="nl-NL"/>
        </w:rPr>
        <w:t xml:space="preserve"> van klasse 1 volgens EN 60942: 1998 op de microfoon worden gemonteerd om het meetsysteem te kalibreren. Het beantwoorden van de </w:t>
      </w:r>
      <w:proofErr w:type="spellStart"/>
      <w:r w:rsidRPr="00025D4E">
        <w:rPr>
          <w:rFonts w:ascii="Verdana" w:eastAsia="Times New Roman" w:hAnsi="Verdana" w:cs="Times New Roman"/>
          <w:color w:val="000000"/>
          <w:sz w:val="23"/>
          <w:szCs w:val="23"/>
          <w:lang w:eastAsia="nl-NL"/>
        </w:rPr>
        <w:t>kalibrator</w:t>
      </w:r>
      <w:proofErr w:type="spellEnd"/>
      <w:r w:rsidRPr="00025D4E">
        <w:rPr>
          <w:rFonts w:ascii="Verdana" w:eastAsia="Times New Roman" w:hAnsi="Verdana" w:cs="Times New Roman"/>
          <w:color w:val="000000"/>
          <w:sz w:val="23"/>
          <w:szCs w:val="23"/>
          <w:lang w:eastAsia="nl-NL"/>
        </w:rPr>
        <w:t xml:space="preserve"> aan de eisen van EN 60942: 1998 moet jaarlijks worden geverifieerd. Het beantwoorden van de meetapparaten aan de eisen van EN 60651: 1994 moet iedere twee jaar worden geverifieerd.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3. </w:t>
      </w:r>
      <w:r w:rsidRPr="00025D4E">
        <w:rPr>
          <w:rFonts w:ascii="Verdana" w:eastAsia="Times New Roman" w:hAnsi="Verdana" w:cs="Times New Roman"/>
          <w:b/>
          <w:bCs/>
          <w:color w:val="000000"/>
          <w:sz w:val="23"/>
          <w:szCs w:val="23"/>
          <w:lang w:eastAsia="nl-NL"/>
        </w:rPr>
        <w:t xml:space="preserve">Geluidsmetingen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3.1 Aan boord van de schepen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De metingen moeten worden uitgevoerd volgens de norm ISO 2923: 2003, onderdelen 5 tot en met 8, met de beperking dat alleen de geluidsdruk niveaus A moeten worden gemeten.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t xml:space="preserve">3.2 Door de schepen voortgebracht geluid </w:t>
      </w: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p>
    <w:p w:rsidR="00025D4E" w:rsidRPr="00025D4E" w:rsidRDefault="00025D4E" w:rsidP="00025D4E">
      <w:pPr>
        <w:spacing w:after="0" w:line="240" w:lineRule="auto"/>
        <w:rPr>
          <w:rFonts w:ascii="Verdana" w:eastAsia="Times New Roman" w:hAnsi="Verdana" w:cs="Times New Roman"/>
          <w:color w:val="000000"/>
          <w:sz w:val="23"/>
          <w:szCs w:val="23"/>
          <w:lang w:eastAsia="nl-NL"/>
        </w:rPr>
      </w:pPr>
      <w:r w:rsidRPr="00025D4E">
        <w:rPr>
          <w:rFonts w:ascii="Verdana" w:eastAsia="Times New Roman" w:hAnsi="Verdana" w:cs="Times New Roman"/>
          <w:color w:val="000000"/>
          <w:sz w:val="23"/>
          <w:szCs w:val="23"/>
          <w:lang w:eastAsia="nl-NL"/>
        </w:rPr>
        <w:lastRenderedPageBreak/>
        <w:t xml:space="preserve">De metingen van het geluid dat door de schepen op de vaarwegen en in havens wordt voortgebracht moeten worden uitgevoerd volgens de norm EN ISO 2922: 2000, onderdelen </w:t>
      </w:r>
      <w:r w:rsidRPr="00025D4E">
        <w:rPr>
          <w:rFonts w:ascii="Verdana" w:eastAsia="Times New Roman" w:hAnsi="Verdana" w:cs="Times New Roman"/>
          <w:i/>
          <w:iCs/>
          <w:color w:val="000000"/>
          <w:sz w:val="23"/>
          <w:szCs w:val="23"/>
          <w:lang w:eastAsia="nl-NL"/>
        </w:rPr>
        <w:t xml:space="preserve">7 </w:t>
      </w:r>
      <w:r w:rsidRPr="00025D4E">
        <w:rPr>
          <w:rFonts w:ascii="Verdana" w:eastAsia="Times New Roman" w:hAnsi="Verdana" w:cs="Times New Roman"/>
          <w:color w:val="000000"/>
          <w:sz w:val="23"/>
          <w:szCs w:val="23"/>
          <w:lang w:eastAsia="nl-NL"/>
        </w:rPr>
        <w:t xml:space="preserve">tot en met 11. Tijdens de metingen moeten de deuren en vensters van de machinekamers gesloten zijn. </w:t>
      </w:r>
    </w:p>
    <w:p w:rsidR="002C0BEA" w:rsidRPr="00025D4E" w:rsidRDefault="002C0BEA" w:rsidP="00025D4E"/>
    <w:sectPr w:rsidR="002C0BEA" w:rsidRPr="00025D4E" w:rsidSect="00CE481D">
      <w:pgSz w:w="11906" w:h="16838"/>
      <w:pgMar w:top="1417" w:right="1273" w:bottom="1134" w:left="1273" w:header="1440" w:footer="1440"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defaultTabStop w:val="708"/>
  <w:hyphenationZone w:val="425"/>
  <w:characterSpacingControl w:val="doNotCompress"/>
  <w:compat/>
  <w:rsids>
    <w:rsidRoot w:val="006E4EE5"/>
    <w:rsid w:val="0000244C"/>
    <w:rsid w:val="00007B72"/>
    <w:rsid w:val="00013E5E"/>
    <w:rsid w:val="000145F0"/>
    <w:rsid w:val="00016DC1"/>
    <w:rsid w:val="00024EAF"/>
    <w:rsid w:val="00025D4E"/>
    <w:rsid w:val="00026007"/>
    <w:rsid w:val="00035A34"/>
    <w:rsid w:val="00036837"/>
    <w:rsid w:val="000444FE"/>
    <w:rsid w:val="00055BC1"/>
    <w:rsid w:val="00055D5A"/>
    <w:rsid w:val="000576CD"/>
    <w:rsid w:val="00057808"/>
    <w:rsid w:val="0006020A"/>
    <w:rsid w:val="0007041C"/>
    <w:rsid w:val="00081B10"/>
    <w:rsid w:val="000824FC"/>
    <w:rsid w:val="0009184E"/>
    <w:rsid w:val="000A2109"/>
    <w:rsid w:val="000A2989"/>
    <w:rsid w:val="000A2FDD"/>
    <w:rsid w:val="000B0BE8"/>
    <w:rsid w:val="000C00A3"/>
    <w:rsid w:val="000C04B3"/>
    <w:rsid w:val="000D2B5D"/>
    <w:rsid w:val="000D5195"/>
    <w:rsid w:val="000D76F5"/>
    <w:rsid w:val="000D7A89"/>
    <w:rsid w:val="000F4B6F"/>
    <w:rsid w:val="001022DB"/>
    <w:rsid w:val="00114AD8"/>
    <w:rsid w:val="001203C6"/>
    <w:rsid w:val="00122130"/>
    <w:rsid w:val="0012796A"/>
    <w:rsid w:val="00130086"/>
    <w:rsid w:val="00131CA8"/>
    <w:rsid w:val="00132535"/>
    <w:rsid w:val="0013369F"/>
    <w:rsid w:val="001336B6"/>
    <w:rsid w:val="00135985"/>
    <w:rsid w:val="00135E54"/>
    <w:rsid w:val="00143E3F"/>
    <w:rsid w:val="00144200"/>
    <w:rsid w:val="0015048E"/>
    <w:rsid w:val="00150A9C"/>
    <w:rsid w:val="00153E3C"/>
    <w:rsid w:val="00155B86"/>
    <w:rsid w:val="0017026C"/>
    <w:rsid w:val="001708C7"/>
    <w:rsid w:val="00174A30"/>
    <w:rsid w:val="00176E5A"/>
    <w:rsid w:val="00177A41"/>
    <w:rsid w:val="001817F6"/>
    <w:rsid w:val="00186336"/>
    <w:rsid w:val="001914AD"/>
    <w:rsid w:val="00192B4D"/>
    <w:rsid w:val="00192CB9"/>
    <w:rsid w:val="00196348"/>
    <w:rsid w:val="00196618"/>
    <w:rsid w:val="00196B4C"/>
    <w:rsid w:val="001A2341"/>
    <w:rsid w:val="001B2470"/>
    <w:rsid w:val="001B5AF2"/>
    <w:rsid w:val="001C39AE"/>
    <w:rsid w:val="001D5B1A"/>
    <w:rsid w:val="001E0FAE"/>
    <w:rsid w:val="001E1F72"/>
    <w:rsid w:val="001E238D"/>
    <w:rsid w:val="001E5B92"/>
    <w:rsid w:val="00200094"/>
    <w:rsid w:val="0020012E"/>
    <w:rsid w:val="00202C2E"/>
    <w:rsid w:val="00203BA4"/>
    <w:rsid w:val="00204A1D"/>
    <w:rsid w:val="00205E36"/>
    <w:rsid w:val="00213627"/>
    <w:rsid w:val="00215DD8"/>
    <w:rsid w:val="00216B7F"/>
    <w:rsid w:val="00216C32"/>
    <w:rsid w:val="00220920"/>
    <w:rsid w:val="00223D08"/>
    <w:rsid w:val="002308AB"/>
    <w:rsid w:val="002318EC"/>
    <w:rsid w:val="00232525"/>
    <w:rsid w:val="00234EBC"/>
    <w:rsid w:val="00236562"/>
    <w:rsid w:val="002365CE"/>
    <w:rsid w:val="0024140B"/>
    <w:rsid w:val="002451DD"/>
    <w:rsid w:val="00256C5B"/>
    <w:rsid w:val="00257B99"/>
    <w:rsid w:val="00276951"/>
    <w:rsid w:val="00277B7B"/>
    <w:rsid w:val="00277C1D"/>
    <w:rsid w:val="00291574"/>
    <w:rsid w:val="00292BA3"/>
    <w:rsid w:val="00295743"/>
    <w:rsid w:val="002957CC"/>
    <w:rsid w:val="002976D8"/>
    <w:rsid w:val="002A03D4"/>
    <w:rsid w:val="002A22EC"/>
    <w:rsid w:val="002A30BA"/>
    <w:rsid w:val="002B26AF"/>
    <w:rsid w:val="002B711E"/>
    <w:rsid w:val="002C01D5"/>
    <w:rsid w:val="002C0BEA"/>
    <w:rsid w:val="002C459F"/>
    <w:rsid w:val="002D2A90"/>
    <w:rsid w:val="002D3EFF"/>
    <w:rsid w:val="002D41F7"/>
    <w:rsid w:val="002D463E"/>
    <w:rsid w:val="002E247B"/>
    <w:rsid w:val="002F10EC"/>
    <w:rsid w:val="00300EC5"/>
    <w:rsid w:val="0030521E"/>
    <w:rsid w:val="003135D0"/>
    <w:rsid w:val="00315EEE"/>
    <w:rsid w:val="00324A1B"/>
    <w:rsid w:val="00331201"/>
    <w:rsid w:val="0033604B"/>
    <w:rsid w:val="00346144"/>
    <w:rsid w:val="00346FEB"/>
    <w:rsid w:val="00351BEB"/>
    <w:rsid w:val="00354606"/>
    <w:rsid w:val="003572AA"/>
    <w:rsid w:val="00363725"/>
    <w:rsid w:val="00363A75"/>
    <w:rsid w:val="00364C1B"/>
    <w:rsid w:val="00366438"/>
    <w:rsid w:val="00373DE4"/>
    <w:rsid w:val="00381B8A"/>
    <w:rsid w:val="00382DF4"/>
    <w:rsid w:val="00383FCC"/>
    <w:rsid w:val="003852FD"/>
    <w:rsid w:val="003900AE"/>
    <w:rsid w:val="00390C4C"/>
    <w:rsid w:val="003A18FA"/>
    <w:rsid w:val="003A44A9"/>
    <w:rsid w:val="003A767F"/>
    <w:rsid w:val="003B0B75"/>
    <w:rsid w:val="003B4179"/>
    <w:rsid w:val="003B5992"/>
    <w:rsid w:val="003B621D"/>
    <w:rsid w:val="003C31CB"/>
    <w:rsid w:val="003C4DE7"/>
    <w:rsid w:val="003C56DB"/>
    <w:rsid w:val="003D146E"/>
    <w:rsid w:val="003D3D1B"/>
    <w:rsid w:val="003F2177"/>
    <w:rsid w:val="00401BFA"/>
    <w:rsid w:val="00402736"/>
    <w:rsid w:val="0040378F"/>
    <w:rsid w:val="0040687B"/>
    <w:rsid w:val="00407F67"/>
    <w:rsid w:val="00423D16"/>
    <w:rsid w:val="0042742B"/>
    <w:rsid w:val="00430265"/>
    <w:rsid w:val="004353BA"/>
    <w:rsid w:val="00452D34"/>
    <w:rsid w:val="00461331"/>
    <w:rsid w:val="0046487C"/>
    <w:rsid w:val="004734BE"/>
    <w:rsid w:val="00475CE3"/>
    <w:rsid w:val="0047665F"/>
    <w:rsid w:val="004768AA"/>
    <w:rsid w:val="004778F4"/>
    <w:rsid w:val="004802C0"/>
    <w:rsid w:val="00481E40"/>
    <w:rsid w:val="00481EC8"/>
    <w:rsid w:val="00483A65"/>
    <w:rsid w:val="00486EA2"/>
    <w:rsid w:val="00487BCE"/>
    <w:rsid w:val="00490F89"/>
    <w:rsid w:val="00497AE5"/>
    <w:rsid w:val="004A02DB"/>
    <w:rsid w:val="004A0A2B"/>
    <w:rsid w:val="004A4636"/>
    <w:rsid w:val="004A4C23"/>
    <w:rsid w:val="004B3743"/>
    <w:rsid w:val="004B5F9A"/>
    <w:rsid w:val="004B7189"/>
    <w:rsid w:val="004B7EE3"/>
    <w:rsid w:val="004C0343"/>
    <w:rsid w:val="004E390A"/>
    <w:rsid w:val="004E3BE9"/>
    <w:rsid w:val="004E60AA"/>
    <w:rsid w:val="004E6AF3"/>
    <w:rsid w:val="004F1F5B"/>
    <w:rsid w:val="004F4811"/>
    <w:rsid w:val="005019CA"/>
    <w:rsid w:val="00501C37"/>
    <w:rsid w:val="00505806"/>
    <w:rsid w:val="0050592C"/>
    <w:rsid w:val="00505A90"/>
    <w:rsid w:val="00513C46"/>
    <w:rsid w:val="00516CF7"/>
    <w:rsid w:val="00521AFB"/>
    <w:rsid w:val="00522FAA"/>
    <w:rsid w:val="00522FF2"/>
    <w:rsid w:val="00523692"/>
    <w:rsid w:val="0053373F"/>
    <w:rsid w:val="005355E1"/>
    <w:rsid w:val="00535A11"/>
    <w:rsid w:val="0053765F"/>
    <w:rsid w:val="00540715"/>
    <w:rsid w:val="0054347E"/>
    <w:rsid w:val="00543FE5"/>
    <w:rsid w:val="005465FA"/>
    <w:rsid w:val="00565B9C"/>
    <w:rsid w:val="005750BF"/>
    <w:rsid w:val="00576698"/>
    <w:rsid w:val="00576DE3"/>
    <w:rsid w:val="00585614"/>
    <w:rsid w:val="005873F4"/>
    <w:rsid w:val="00591B42"/>
    <w:rsid w:val="005937F0"/>
    <w:rsid w:val="00595BF1"/>
    <w:rsid w:val="005A0F43"/>
    <w:rsid w:val="005A6929"/>
    <w:rsid w:val="005C4536"/>
    <w:rsid w:val="005C5B55"/>
    <w:rsid w:val="005D2C8D"/>
    <w:rsid w:val="005D7203"/>
    <w:rsid w:val="005E2068"/>
    <w:rsid w:val="005E2910"/>
    <w:rsid w:val="005E32D1"/>
    <w:rsid w:val="005E447A"/>
    <w:rsid w:val="005E797F"/>
    <w:rsid w:val="00602443"/>
    <w:rsid w:val="00603AA0"/>
    <w:rsid w:val="00604A8D"/>
    <w:rsid w:val="006057AA"/>
    <w:rsid w:val="00605E45"/>
    <w:rsid w:val="006061AD"/>
    <w:rsid w:val="00606400"/>
    <w:rsid w:val="00607707"/>
    <w:rsid w:val="00607D79"/>
    <w:rsid w:val="006120BB"/>
    <w:rsid w:val="0061240C"/>
    <w:rsid w:val="0061390B"/>
    <w:rsid w:val="0061608C"/>
    <w:rsid w:val="0062156C"/>
    <w:rsid w:val="00626565"/>
    <w:rsid w:val="00627506"/>
    <w:rsid w:val="00634A58"/>
    <w:rsid w:val="006437A6"/>
    <w:rsid w:val="006510CF"/>
    <w:rsid w:val="00651AFF"/>
    <w:rsid w:val="006570FA"/>
    <w:rsid w:val="006577E5"/>
    <w:rsid w:val="00657B57"/>
    <w:rsid w:val="00665850"/>
    <w:rsid w:val="00667B5D"/>
    <w:rsid w:val="00673120"/>
    <w:rsid w:val="0067315C"/>
    <w:rsid w:val="00675FDA"/>
    <w:rsid w:val="0067743A"/>
    <w:rsid w:val="00680D6D"/>
    <w:rsid w:val="00697783"/>
    <w:rsid w:val="006A1C9A"/>
    <w:rsid w:val="006A1ECB"/>
    <w:rsid w:val="006A5E00"/>
    <w:rsid w:val="006A696C"/>
    <w:rsid w:val="006C1E90"/>
    <w:rsid w:val="006C6B06"/>
    <w:rsid w:val="006D48ED"/>
    <w:rsid w:val="006E003C"/>
    <w:rsid w:val="006E4EE5"/>
    <w:rsid w:val="006E5623"/>
    <w:rsid w:val="006E7F9D"/>
    <w:rsid w:val="006F1230"/>
    <w:rsid w:val="006F7E12"/>
    <w:rsid w:val="00703183"/>
    <w:rsid w:val="007060CE"/>
    <w:rsid w:val="0070668E"/>
    <w:rsid w:val="007076D7"/>
    <w:rsid w:val="007143F2"/>
    <w:rsid w:val="00714D3E"/>
    <w:rsid w:val="0071639F"/>
    <w:rsid w:val="0071688E"/>
    <w:rsid w:val="00722872"/>
    <w:rsid w:val="0072291D"/>
    <w:rsid w:val="00722E36"/>
    <w:rsid w:val="007267A8"/>
    <w:rsid w:val="00727984"/>
    <w:rsid w:val="007367CC"/>
    <w:rsid w:val="00736CB3"/>
    <w:rsid w:val="00742AEF"/>
    <w:rsid w:val="007476AC"/>
    <w:rsid w:val="00747882"/>
    <w:rsid w:val="007520B5"/>
    <w:rsid w:val="00757794"/>
    <w:rsid w:val="00757D83"/>
    <w:rsid w:val="00757EC1"/>
    <w:rsid w:val="00761F6F"/>
    <w:rsid w:val="00763973"/>
    <w:rsid w:val="007639A6"/>
    <w:rsid w:val="00763ABC"/>
    <w:rsid w:val="00764845"/>
    <w:rsid w:val="00764DF6"/>
    <w:rsid w:val="00765466"/>
    <w:rsid w:val="00767FC9"/>
    <w:rsid w:val="00773C59"/>
    <w:rsid w:val="007753B4"/>
    <w:rsid w:val="00781C27"/>
    <w:rsid w:val="0078569B"/>
    <w:rsid w:val="00786C8E"/>
    <w:rsid w:val="007904E9"/>
    <w:rsid w:val="0079242D"/>
    <w:rsid w:val="00795D61"/>
    <w:rsid w:val="007A5C81"/>
    <w:rsid w:val="007B0ACC"/>
    <w:rsid w:val="007B18A9"/>
    <w:rsid w:val="007B446C"/>
    <w:rsid w:val="007C07B9"/>
    <w:rsid w:val="007C1538"/>
    <w:rsid w:val="007D16E4"/>
    <w:rsid w:val="007D49DD"/>
    <w:rsid w:val="007F047B"/>
    <w:rsid w:val="007F2CDC"/>
    <w:rsid w:val="007F3A99"/>
    <w:rsid w:val="007F6090"/>
    <w:rsid w:val="008000E0"/>
    <w:rsid w:val="00801D39"/>
    <w:rsid w:val="00804DD0"/>
    <w:rsid w:val="00804FD8"/>
    <w:rsid w:val="00806056"/>
    <w:rsid w:val="00812222"/>
    <w:rsid w:val="00813154"/>
    <w:rsid w:val="00814998"/>
    <w:rsid w:val="008161CB"/>
    <w:rsid w:val="008162E1"/>
    <w:rsid w:val="00816877"/>
    <w:rsid w:val="00817F5C"/>
    <w:rsid w:val="00824927"/>
    <w:rsid w:val="0082579B"/>
    <w:rsid w:val="008270EA"/>
    <w:rsid w:val="00827194"/>
    <w:rsid w:val="00830723"/>
    <w:rsid w:val="00831950"/>
    <w:rsid w:val="0083493A"/>
    <w:rsid w:val="00835095"/>
    <w:rsid w:val="00836BE5"/>
    <w:rsid w:val="00837F86"/>
    <w:rsid w:val="00847AC4"/>
    <w:rsid w:val="00851031"/>
    <w:rsid w:val="00852627"/>
    <w:rsid w:val="00855EC8"/>
    <w:rsid w:val="008569DA"/>
    <w:rsid w:val="00856FA9"/>
    <w:rsid w:val="00857242"/>
    <w:rsid w:val="00864907"/>
    <w:rsid w:val="00867A22"/>
    <w:rsid w:val="00867F48"/>
    <w:rsid w:val="00872D69"/>
    <w:rsid w:val="00874EA1"/>
    <w:rsid w:val="00875F4B"/>
    <w:rsid w:val="00876A74"/>
    <w:rsid w:val="00883318"/>
    <w:rsid w:val="008860DF"/>
    <w:rsid w:val="00886FA6"/>
    <w:rsid w:val="00894FDA"/>
    <w:rsid w:val="008A27D2"/>
    <w:rsid w:val="008A3FB2"/>
    <w:rsid w:val="008B2FE2"/>
    <w:rsid w:val="008C5992"/>
    <w:rsid w:val="008D590A"/>
    <w:rsid w:val="008E05B4"/>
    <w:rsid w:val="008E71DB"/>
    <w:rsid w:val="008F19D0"/>
    <w:rsid w:val="008F5C63"/>
    <w:rsid w:val="009012C0"/>
    <w:rsid w:val="00902977"/>
    <w:rsid w:val="00905698"/>
    <w:rsid w:val="00906DA3"/>
    <w:rsid w:val="009072B8"/>
    <w:rsid w:val="00907EF5"/>
    <w:rsid w:val="00911543"/>
    <w:rsid w:val="009179A6"/>
    <w:rsid w:val="00917DB9"/>
    <w:rsid w:val="00921BEF"/>
    <w:rsid w:val="009233D3"/>
    <w:rsid w:val="00923939"/>
    <w:rsid w:val="0092579A"/>
    <w:rsid w:val="00925F51"/>
    <w:rsid w:val="009342F8"/>
    <w:rsid w:val="00945CCF"/>
    <w:rsid w:val="00954571"/>
    <w:rsid w:val="0095496F"/>
    <w:rsid w:val="00955939"/>
    <w:rsid w:val="009575A4"/>
    <w:rsid w:val="00962F71"/>
    <w:rsid w:val="00970CCA"/>
    <w:rsid w:val="00972C55"/>
    <w:rsid w:val="00976429"/>
    <w:rsid w:val="00977AAB"/>
    <w:rsid w:val="00977ED8"/>
    <w:rsid w:val="00991959"/>
    <w:rsid w:val="00995A36"/>
    <w:rsid w:val="009A4080"/>
    <w:rsid w:val="009C4DCF"/>
    <w:rsid w:val="009C6072"/>
    <w:rsid w:val="009D072C"/>
    <w:rsid w:val="009D1147"/>
    <w:rsid w:val="009D3155"/>
    <w:rsid w:val="009D4420"/>
    <w:rsid w:val="009D5295"/>
    <w:rsid w:val="009D5DB4"/>
    <w:rsid w:val="009D681D"/>
    <w:rsid w:val="009D7240"/>
    <w:rsid w:val="009E3451"/>
    <w:rsid w:val="009E6298"/>
    <w:rsid w:val="009E6775"/>
    <w:rsid w:val="00A0157A"/>
    <w:rsid w:val="00A024F1"/>
    <w:rsid w:val="00A03E97"/>
    <w:rsid w:val="00A047D6"/>
    <w:rsid w:val="00A06019"/>
    <w:rsid w:val="00A06918"/>
    <w:rsid w:val="00A06D60"/>
    <w:rsid w:val="00A105BF"/>
    <w:rsid w:val="00A11AD7"/>
    <w:rsid w:val="00A11F08"/>
    <w:rsid w:val="00A13482"/>
    <w:rsid w:val="00A145EF"/>
    <w:rsid w:val="00A14698"/>
    <w:rsid w:val="00A15C3E"/>
    <w:rsid w:val="00A16D85"/>
    <w:rsid w:val="00A270E8"/>
    <w:rsid w:val="00A33E7D"/>
    <w:rsid w:val="00A37BE3"/>
    <w:rsid w:val="00A44DA8"/>
    <w:rsid w:val="00A45199"/>
    <w:rsid w:val="00A46FE3"/>
    <w:rsid w:val="00A531E6"/>
    <w:rsid w:val="00A538E0"/>
    <w:rsid w:val="00A54E48"/>
    <w:rsid w:val="00A55B80"/>
    <w:rsid w:val="00A55BDE"/>
    <w:rsid w:val="00A612B1"/>
    <w:rsid w:val="00A7172E"/>
    <w:rsid w:val="00A757C7"/>
    <w:rsid w:val="00A75AE6"/>
    <w:rsid w:val="00A76B93"/>
    <w:rsid w:val="00A770F8"/>
    <w:rsid w:val="00A80536"/>
    <w:rsid w:val="00A8431F"/>
    <w:rsid w:val="00A86C89"/>
    <w:rsid w:val="00A9112C"/>
    <w:rsid w:val="00A93754"/>
    <w:rsid w:val="00A95868"/>
    <w:rsid w:val="00AA1120"/>
    <w:rsid w:val="00AA1FE8"/>
    <w:rsid w:val="00AA435B"/>
    <w:rsid w:val="00AA46EC"/>
    <w:rsid w:val="00AA7804"/>
    <w:rsid w:val="00AA7A82"/>
    <w:rsid w:val="00AB6518"/>
    <w:rsid w:val="00AC296F"/>
    <w:rsid w:val="00AC2EB9"/>
    <w:rsid w:val="00AC3514"/>
    <w:rsid w:val="00AC4F17"/>
    <w:rsid w:val="00AC69FC"/>
    <w:rsid w:val="00AC6CBA"/>
    <w:rsid w:val="00AC7EBA"/>
    <w:rsid w:val="00AD27DB"/>
    <w:rsid w:val="00AD2A06"/>
    <w:rsid w:val="00AD2CE7"/>
    <w:rsid w:val="00AE1928"/>
    <w:rsid w:val="00AE5CC4"/>
    <w:rsid w:val="00AE73F2"/>
    <w:rsid w:val="00AF02D3"/>
    <w:rsid w:val="00AF0A1F"/>
    <w:rsid w:val="00AF5068"/>
    <w:rsid w:val="00AF5394"/>
    <w:rsid w:val="00AF589D"/>
    <w:rsid w:val="00AF6E71"/>
    <w:rsid w:val="00AF76CC"/>
    <w:rsid w:val="00B069D5"/>
    <w:rsid w:val="00B079C0"/>
    <w:rsid w:val="00B07D3A"/>
    <w:rsid w:val="00B11036"/>
    <w:rsid w:val="00B114A4"/>
    <w:rsid w:val="00B127C4"/>
    <w:rsid w:val="00B178E6"/>
    <w:rsid w:val="00B2464C"/>
    <w:rsid w:val="00B2686D"/>
    <w:rsid w:val="00B27F2B"/>
    <w:rsid w:val="00B34013"/>
    <w:rsid w:val="00B356CB"/>
    <w:rsid w:val="00B359DD"/>
    <w:rsid w:val="00B361B9"/>
    <w:rsid w:val="00B36CA1"/>
    <w:rsid w:val="00B443C2"/>
    <w:rsid w:val="00B4471F"/>
    <w:rsid w:val="00B44934"/>
    <w:rsid w:val="00B47104"/>
    <w:rsid w:val="00B50542"/>
    <w:rsid w:val="00B50BFE"/>
    <w:rsid w:val="00B52B2D"/>
    <w:rsid w:val="00B61041"/>
    <w:rsid w:val="00B71AA0"/>
    <w:rsid w:val="00B768FB"/>
    <w:rsid w:val="00B8191E"/>
    <w:rsid w:val="00B85718"/>
    <w:rsid w:val="00B8757A"/>
    <w:rsid w:val="00B87C91"/>
    <w:rsid w:val="00B945C8"/>
    <w:rsid w:val="00BA7704"/>
    <w:rsid w:val="00BB2DCD"/>
    <w:rsid w:val="00BB3FD9"/>
    <w:rsid w:val="00BB6F84"/>
    <w:rsid w:val="00BC639A"/>
    <w:rsid w:val="00BD038A"/>
    <w:rsid w:val="00BD7DE6"/>
    <w:rsid w:val="00BE1AC4"/>
    <w:rsid w:val="00BE1B18"/>
    <w:rsid w:val="00BE2011"/>
    <w:rsid w:val="00BE326F"/>
    <w:rsid w:val="00BE6BBD"/>
    <w:rsid w:val="00BE702A"/>
    <w:rsid w:val="00BE7E01"/>
    <w:rsid w:val="00BF0AA7"/>
    <w:rsid w:val="00BF6866"/>
    <w:rsid w:val="00C01AF4"/>
    <w:rsid w:val="00C077CC"/>
    <w:rsid w:val="00C12587"/>
    <w:rsid w:val="00C27472"/>
    <w:rsid w:val="00C37F67"/>
    <w:rsid w:val="00C40226"/>
    <w:rsid w:val="00C46739"/>
    <w:rsid w:val="00C53C31"/>
    <w:rsid w:val="00C56574"/>
    <w:rsid w:val="00C65E69"/>
    <w:rsid w:val="00C71974"/>
    <w:rsid w:val="00C73689"/>
    <w:rsid w:val="00C73981"/>
    <w:rsid w:val="00C77ACE"/>
    <w:rsid w:val="00C81398"/>
    <w:rsid w:val="00C842BD"/>
    <w:rsid w:val="00C84FA0"/>
    <w:rsid w:val="00C909A2"/>
    <w:rsid w:val="00C92AC6"/>
    <w:rsid w:val="00C95324"/>
    <w:rsid w:val="00C97DBD"/>
    <w:rsid w:val="00CA3035"/>
    <w:rsid w:val="00CA341C"/>
    <w:rsid w:val="00CA5739"/>
    <w:rsid w:val="00CB0D78"/>
    <w:rsid w:val="00CB67ED"/>
    <w:rsid w:val="00CC04B6"/>
    <w:rsid w:val="00CC5041"/>
    <w:rsid w:val="00CC564E"/>
    <w:rsid w:val="00CC6D42"/>
    <w:rsid w:val="00CD5C56"/>
    <w:rsid w:val="00CD698B"/>
    <w:rsid w:val="00CD6CD7"/>
    <w:rsid w:val="00CE5349"/>
    <w:rsid w:val="00CE66DD"/>
    <w:rsid w:val="00CF00B6"/>
    <w:rsid w:val="00CF297A"/>
    <w:rsid w:val="00CF397D"/>
    <w:rsid w:val="00D15253"/>
    <w:rsid w:val="00D166B0"/>
    <w:rsid w:val="00D22520"/>
    <w:rsid w:val="00D23DF7"/>
    <w:rsid w:val="00D25F60"/>
    <w:rsid w:val="00D3162D"/>
    <w:rsid w:val="00D37F44"/>
    <w:rsid w:val="00D401B9"/>
    <w:rsid w:val="00D421E3"/>
    <w:rsid w:val="00D4279F"/>
    <w:rsid w:val="00D4460B"/>
    <w:rsid w:val="00D44794"/>
    <w:rsid w:val="00D44A18"/>
    <w:rsid w:val="00D46D53"/>
    <w:rsid w:val="00D536F1"/>
    <w:rsid w:val="00D5426B"/>
    <w:rsid w:val="00D56305"/>
    <w:rsid w:val="00D617CE"/>
    <w:rsid w:val="00D650E8"/>
    <w:rsid w:val="00D65A28"/>
    <w:rsid w:val="00D661AF"/>
    <w:rsid w:val="00D6637B"/>
    <w:rsid w:val="00D7139C"/>
    <w:rsid w:val="00D734A7"/>
    <w:rsid w:val="00D74FE4"/>
    <w:rsid w:val="00D75A36"/>
    <w:rsid w:val="00D8038D"/>
    <w:rsid w:val="00D83D94"/>
    <w:rsid w:val="00D8499E"/>
    <w:rsid w:val="00D849EC"/>
    <w:rsid w:val="00D84FA6"/>
    <w:rsid w:val="00D853D5"/>
    <w:rsid w:val="00DA1536"/>
    <w:rsid w:val="00DA5ECB"/>
    <w:rsid w:val="00DA784F"/>
    <w:rsid w:val="00DB1859"/>
    <w:rsid w:val="00DC10FE"/>
    <w:rsid w:val="00DC7C03"/>
    <w:rsid w:val="00DD1FCA"/>
    <w:rsid w:val="00DD2904"/>
    <w:rsid w:val="00DD4C09"/>
    <w:rsid w:val="00DE0086"/>
    <w:rsid w:val="00DE0D12"/>
    <w:rsid w:val="00DE3310"/>
    <w:rsid w:val="00DE4EA9"/>
    <w:rsid w:val="00DF0E10"/>
    <w:rsid w:val="00DF2E9D"/>
    <w:rsid w:val="00E00AE4"/>
    <w:rsid w:val="00E037C5"/>
    <w:rsid w:val="00E106CD"/>
    <w:rsid w:val="00E21070"/>
    <w:rsid w:val="00E237F4"/>
    <w:rsid w:val="00E23C56"/>
    <w:rsid w:val="00E31D7E"/>
    <w:rsid w:val="00E320D8"/>
    <w:rsid w:val="00E32A10"/>
    <w:rsid w:val="00E40894"/>
    <w:rsid w:val="00E4494A"/>
    <w:rsid w:val="00E50685"/>
    <w:rsid w:val="00E57F59"/>
    <w:rsid w:val="00E60650"/>
    <w:rsid w:val="00E63241"/>
    <w:rsid w:val="00E67BB9"/>
    <w:rsid w:val="00E7413F"/>
    <w:rsid w:val="00E747D7"/>
    <w:rsid w:val="00E76739"/>
    <w:rsid w:val="00E829CC"/>
    <w:rsid w:val="00E87B55"/>
    <w:rsid w:val="00E92676"/>
    <w:rsid w:val="00E95C2B"/>
    <w:rsid w:val="00EA0055"/>
    <w:rsid w:val="00EA2132"/>
    <w:rsid w:val="00EA5E6E"/>
    <w:rsid w:val="00EA6050"/>
    <w:rsid w:val="00EB41AC"/>
    <w:rsid w:val="00EB5800"/>
    <w:rsid w:val="00EB599E"/>
    <w:rsid w:val="00EB6440"/>
    <w:rsid w:val="00EB7C72"/>
    <w:rsid w:val="00EC3809"/>
    <w:rsid w:val="00EC434C"/>
    <w:rsid w:val="00EC4751"/>
    <w:rsid w:val="00EC7C36"/>
    <w:rsid w:val="00ED0E73"/>
    <w:rsid w:val="00ED22E0"/>
    <w:rsid w:val="00ED5B63"/>
    <w:rsid w:val="00EF08CE"/>
    <w:rsid w:val="00EF3A4F"/>
    <w:rsid w:val="00EF550C"/>
    <w:rsid w:val="00EF77F3"/>
    <w:rsid w:val="00F004D8"/>
    <w:rsid w:val="00F03169"/>
    <w:rsid w:val="00F04207"/>
    <w:rsid w:val="00F1607A"/>
    <w:rsid w:val="00F23A54"/>
    <w:rsid w:val="00F23EB6"/>
    <w:rsid w:val="00F3054F"/>
    <w:rsid w:val="00F367AA"/>
    <w:rsid w:val="00F40529"/>
    <w:rsid w:val="00F415F9"/>
    <w:rsid w:val="00F43AF9"/>
    <w:rsid w:val="00F44138"/>
    <w:rsid w:val="00F45E10"/>
    <w:rsid w:val="00F467B0"/>
    <w:rsid w:val="00F506C7"/>
    <w:rsid w:val="00F51E28"/>
    <w:rsid w:val="00F52401"/>
    <w:rsid w:val="00F52CD5"/>
    <w:rsid w:val="00F54EBB"/>
    <w:rsid w:val="00F55075"/>
    <w:rsid w:val="00F61C4A"/>
    <w:rsid w:val="00F64599"/>
    <w:rsid w:val="00F70E0A"/>
    <w:rsid w:val="00F717CC"/>
    <w:rsid w:val="00F74797"/>
    <w:rsid w:val="00F83C18"/>
    <w:rsid w:val="00F8762E"/>
    <w:rsid w:val="00F903BA"/>
    <w:rsid w:val="00F95A27"/>
    <w:rsid w:val="00F9618C"/>
    <w:rsid w:val="00F97ECE"/>
    <w:rsid w:val="00FA0A02"/>
    <w:rsid w:val="00FA2104"/>
    <w:rsid w:val="00FB18F5"/>
    <w:rsid w:val="00FB3738"/>
    <w:rsid w:val="00FB710F"/>
    <w:rsid w:val="00FC27AF"/>
    <w:rsid w:val="00FC2F03"/>
    <w:rsid w:val="00FD09C0"/>
    <w:rsid w:val="00FD317E"/>
    <w:rsid w:val="00FD58D1"/>
    <w:rsid w:val="00FD5BF4"/>
    <w:rsid w:val="00FD6540"/>
    <w:rsid w:val="00FD7E07"/>
    <w:rsid w:val="00FE0E23"/>
    <w:rsid w:val="00FE318C"/>
    <w:rsid w:val="00FE682C"/>
    <w:rsid w:val="00FE70B4"/>
    <w:rsid w:val="00FF0527"/>
    <w:rsid w:val="00FF2AF6"/>
    <w:rsid w:val="00FF5A32"/>
    <w:rsid w:val="00FF74A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45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BEA"/>
    <w:pPr>
      <w:spacing w:after="0" w:line="240" w:lineRule="auto"/>
    </w:pPr>
  </w:style>
  <w:style w:type="paragraph" w:styleId="Normaalweb">
    <w:name w:val="Normal (Web)"/>
    <w:basedOn w:val="Standaard"/>
    <w:uiPriority w:val="99"/>
    <w:unhideWhenUsed/>
    <w:rsid w:val="000C04B3"/>
    <w:pPr>
      <w:spacing w:after="0" w:line="240" w:lineRule="auto"/>
    </w:pPr>
    <w:rPr>
      <w:rFonts w:ascii="Times New Roman" w:eastAsia="Times New Roman" w:hAnsi="Times New Roman" w:cs="Times New Roman"/>
      <w:color w:val="000000"/>
      <w:sz w:val="20"/>
      <w:szCs w:val="20"/>
      <w:lang w:eastAsia="nl-NL"/>
    </w:rPr>
  </w:style>
  <w:style w:type="paragraph" w:customStyle="1" w:styleId="rvps1">
    <w:name w:val="rvps1"/>
    <w:basedOn w:val="Standaard"/>
    <w:rsid w:val="000C04B3"/>
    <w:pPr>
      <w:spacing w:after="0" w:line="240" w:lineRule="auto"/>
      <w:jc w:val="center"/>
    </w:pPr>
    <w:rPr>
      <w:rFonts w:ascii="Times New Roman" w:eastAsia="Times New Roman" w:hAnsi="Times New Roman" w:cs="Times New Roman"/>
      <w:color w:val="000000"/>
      <w:sz w:val="20"/>
      <w:szCs w:val="20"/>
      <w:lang w:eastAsia="nl-NL"/>
    </w:rPr>
  </w:style>
  <w:style w:type="character" w:customStyle="1" w:styleId="rvts81">
    <w:name w:val="rvts81"/>
    <w:basedOn w:val="Standaardalinea-lettertype"/>
    <w:rsid w:val="000C04B3"/>
    <w:rPr>
      <w:b w:val="0"/>
      <w:bCs w:val="0"/>
      <w:color w:val="000000"/>
      <w:sz w:val="17"/>
      <w:szCs w:val="17"/>
    </w:rPr>
  </w:style>
  <w:style w:type="paragraph" w:styleId="Ballontekst">
    <w:name w:val="Balloon Text"/>
    <w:basedOn w:val="Standaard"/>
    <w:link w:val="BallontekstChar"/>
    <w:uiPriority w:val="99"/>
    <w:semiHidden/>
    <w:unhideWhenUsed/>
    <w:rsid w:val="000C04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4B3"/>
    <w:rPr>
      <w:rFonts w:ascii="Tahoma" w:hAnsi="Tahoma" w:cs="Tahoma"/>
      <w:sz w:val="16"/>
      <w:szCs w:val="16"/>
    </w:rPr>
  </w:style>
  <w:style w:type="character" w:customStyle="1" w:styleId="rvts481">
    <w:name w:val="rvts481"/>
    <w:basedOn w:val="Standaardalinea-lettertype"/>
    <w:rsid w:val="0092579A"/>
    <w:rPr>
      <w:color w:val="000000"/>
      <w:sz w:val="21"/>
      <w:szCs w:val="21"/>
    </w:rPr>
  </w:style>
</w:styles>
</file>

<file path=word/webSettings.xml><?xml version="1.0" encoding="utf-8"?>
<w:webSettings xmlns:r="http://schemas.openxmlformats.org/officeDocument/2006/relationships" xmlns:w="http://schemas.openxmlformats.org/wordprocessingml/2006/main">
  <w:divs>
    <w:div w:id="1648583271">
      <w:bodyDiv w:val="1"/>
      <w:marLeft w:val="107"/>
      <w:marRight w:val="71"/>
      <w:marTop w:val="0"/>
      <w:marBottom w:val="89"/>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vugt</dc:creator>
  <cp:lastModifiedBy>vugt</cp:lastModifiedBy>
  <cp:revision>2</cp:revision>
  <cp:lastPrinted>2015-01-14T07:07:00Z</cp:lastPrinted>
  <dcterms:created xsi:type="dcterms:W3CDTF">2015-01-14T07:32:00Z</dcterms:created>
  <dcterms:modified xsi:type="dcterms:W3CDTF">2015-01-14T07:32:00Z</dcterms:modified>
</cp:coreProperties>
</file>